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right" w:tblpY="215"/>
        <w:tblW w:w="2745" w:type="dxa"/>
        <w:tblLook w:val="04A0" w:firstRow="1" w:lastRow="0" w:firstColumn="1" w:lastColumn="0" w:noHBand="0" w:noVBand="1"/>
      </w:tblPr>
      <w:tblGrid>
        <w:gridCol w:w="1356"/>
        <w:gridCol w:w="1389"/>
      </w:tblGrid>
      <w:tr w:rsidR="00321759" w:rsidRPr="004313B9" w14:paraId="0560F54C" w14:textId="77777777" w:rsidTr="008072FA">
        <w:trPr>
          <w:trHeight w:val="383"/>
        </w:trPr>
        <w:tc>
          <w:tcPr>
            <w:tcW w:w="1356" w:type="dxa"/>
          </w:tcPr>
          <w:p w14:paraId="45FD2A6F" w14:textId="77777777" w:rsidR="00321759" w:rsidRPr="004313B9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4313B9">
              <w:rPr>
                <w:rFonts w:cstheme="minorHAnsi"/>
                <w:sz w:val="18"/>
                <w:szCs w:val="18"/>
              </w:rPr>
              <w:t>Yayın Tarihi</w:t>
            </w:r>
          </w:p>
        </w:tc>
        <w:tc>
          <w:tcPr>
            <w:tcW w:w="1389" w:type="dxa"/>
          </w:tcPr>
          <w:p w14:paraId="1C51B387" w14:textId="77777777" w:rsidR="00321759" w:rsidRPr="004313B9" w:rsidRDefault="00BB4DF4" w:rsidP="00D53A3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  <w:r w:rsidR="006E71D1" w:rsidRPr="004313B9">
              <w:rPr>
                <w:rFonts w:cstheme="minorHAnsi"/>
                <w:sz w:val="18"/>
                <w:szCs w:val="18"/>
              </w:rPr>
              <w:t>.1</w:t>
            </w:r>
            <w:r w:rsidR="00D53A3A">
              <w:rPr>
                <w:rFonts w:cstheme="minorHAnsi"/>
                <w:sz w:val="18"/>
                <w:szCs w:val="18"/>
              </w:rPr>
              <w:t>2</w:t>
            </w:r>
            <w:r w:rsidR="006E71D1" w:rsidRPr="004313B9">
              <w:rPr>
                <w:rFonts w:cstheme="minorHAnsi"/>
                <w:sz w:val="18"/>
                <w:szCs w:val="18"/>
              </w:rPr>
              <w:t>.2025</w:t>
            </w:r>
          </w:p>
        </w:tc>
      </w:tr>
      <w:tr w:rsidR="00321759" w:rsidRPr="004313B9" w14:paraId="3F9BFEBD" w14:textId="77777777" w:rsidTr="008072FA">
        <w:trPr>
          <w:trHeight w:val="383"/>
        </w:trPr>
        <w:tc>
          <w:tcPr>
            <w:tcW w:w="1356" w:type="dxa"/>
          </w:tcPr>
          <w:p w14:paraId="73AF2160" w14:textId="77777777" w:rsidR="00321759" w:rsidRPr="004313B9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4313B9">
              <w:rPr>
                <w:rFonts w:cstheme="minorHAnsi"/>
                <w:sz w:val="18"/>
                <w:szCs w:val="18"/>
              </w:rPr>
              <w:t>Revizyon Tarihi</w:t>
            </w:r>
          </w:p>
        </w:tc>
        <w:tc>
          <w:tcPr>
            <w:tcW w:w="1389" w:type="dxa"/>
          </w:tcPr>
          <w:p w14:paraId="20A045A1" w14:textId="77777777" w:rsidR="00321759" w:rsidRPr="004313B9" w:rsidRDefault="00321759" w:rsidP="006234C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1759" w:rsidRPr="004313B9" w14:paraId="193A722E" w14:textId="77777777" w:rsidTr="008072FA">
        <w:trPr>
          <w:trHeight w:val="400"/>
        </w:trPr>
        <w:tc>
          <w:tcPr>
            <w:tcW w:w="1356" w:type="dxa"/>
          </w:tcPr>
          <w:p w14:paraId="5E887CEA" w14:textId="77777777" w:rsidR="00321759" w:rsidRPr="004313B9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4313B9">
              <w:rPr>
                <w:rFonts w:cstheme="minorHAnsi"/>
                <w:sz w:val="18"/>
                <w:szCs w:val="18"/>
              </w:rPr>
              <w:t>Revizyon No</w:t>
            </w:r>
          </w:p>
        </w:tc>
        <w:tc>
          <w:tcPr>
            <w:tcW w:w="1389" w:type="dxa"/>
          </w:tcPr>
          <w:p w14:paraId="352CF832" w14:textId="77777777" w:rsidR="00321759" w:rsidRPr="004313B9" w:rsidRDefault="006E71D1" w:rsidP="006234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3B9">
              <w:rPr>
                <w:rFonts w:cstheme="minorHAnsi"/>
                <w:sz w:val="18"/>
                <w:szCs w:val="18"/>
              </w:rPr>
              <w:t>00</w:t>
            </w:r>
          </w:p>
        </w:tc>
      </w:tr>
    </w:tbl>
    <w:p w14:paraId="723B0448" w14:textId="77777777" w:rsidR="00D1386E" w:rsidRPr="006234C0" w:rsidRDefault="00D1386E" w:rsidP="006234C0">
      <w:pPr>
        <w:spacing w:after="0"/>
        <w:jc w:val="center"/>
        <w:rPr>
          <w:rFonts w:cstheme="minorHAnsi"/>
          <w:b/>
          <w:bCs/>
        </w:rPr>
      </w:pPr>
      <w:r w:rsidRPr="006234C0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3A954A83" wp14:editId="0C585471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3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13B9">
        <w:rPr>
          <w:rFonts w:cstheme="minorHAnsi"/>
          <w:b/>
          <w:noProof/>
        </w:rPr>
        <w:t xml:space="preserve">                            </w:t>
      </w:r>
      <w:r w:rsidR="00634975">
        <w:rPr>
          <w:rFonts w:cstheme="minorHAnsi"/>
          <w:b/>
          <w:noProof/>
        </w:rPr>
        <w:t xml:space="preserve">      </w:t>
      </w:r>
      <w:r w:rsidR="004313B9">
        <w:rPr>
          <w:rFonts w:cstheme="minorHAnsi"/>
          <w:b/>
          <w:noProof/>
        </w:rPr>
        <w:t xml:space="preserve">     </w:t>
      </w:r>
      <w:r w:rsidRPr="006234C0">
        <w:rPr>
          <w:rFonts w:cstheme="minorHAnsi"/>
          <w:b/>
          <w:noProof/>
        </w:rPr>
        <w:t>T.C.</w:t>
      </w:r>
    </w:p>
    <w:p w14:paraId="5D20397D" w14:textId="77777777" w:rsidR="00D1386E" w:rsidRPr="006234C0" w:rsidRDefault="004313B9" w:rsidP="006234C0">
      <w:pPr>
        <w:pStyle w:val="Balk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</w:t>
      </w:r>
      <w:r w:rsidR="00D1386E" w:rsidRPr="006234C0">
        <w:rPr>
          <w:rFonts w:asciiTheme="minorHAnsi" w:hAnsiTheme="minorHAnsi" w:cstheme="minorHAnsi"/>
          <w:color w:val="auto"/>
          <w:sz w:val="22"/>
          <w:szCs w:val="22"/>
        </w:rPr>
        <w:t>GİRESUN ÜNİVERSİTESİ REKTÖRLÜĞÜ</w:t>
      </w:r>
    </w:p>
    <w:p w14:paraId="384A49A7" w14:textId="77777777" w:rsidR="00D1386E" w:rsidRPr="006234C0" w:rsidRDefault="004313B9" w:rsidP="006234C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</w:t>
      </w:r>
      <w:r w:rsidR="00D1386E" w:rsidRPr="006234C0">
        <w:rPr>
          <w:rFonts w:cstheme="minorHAnsi"/>
          <w:b/>
        </w:rPr>
        <w:t xml:space="preserve"> İdari ve Mali İşler Daire Başkanlığı</w:t>
      </w:r>
    </w:p>
    <w:tbl>
      <w:tblPr>
        <w:tblStyle w:val="TabloKlavuzu"/>
        <w:tblpPr w:leftFromText="141" w:rightFromText="141" w:vertAnchor="page" w:horzAnchor="margin" w:tblpY="2098"/>
        <w:tblW w:w="9464" w:type="dxa"/>
        <w:tblLayout w:type="fixed"/>
        <w:tblLook w:val="04A0" w:firstRow="1" w:lastRow="0" w:firstColumn="1" w:lastColumn="0" w:noHBand="0" w:noVBand="1"/>
      </w:tblPr>
      <w:tblGrid>
        <w:gridCol w:w="2367"/>
        <w:gridCol w:w="7097"/>
      </w:tblGrid>
      <w:tr w:rsidR="008072FA" w:rsidRPr="008072FA" w14:paraId="1486CA00" w14:textId="77777777" w:rsidTr="008072FA">
        <w:trPr>
          <w:trHeight w:val="423"/>
        </w:trPr>
        <w:tc>
          <w:tcPr>
            <w:tcW w:w="9464" w:type="dxa"/>
            <w:gridSpan w:val="2"/>
            <w:vAlign w:val="center"/>
          </w:tcPr>
          <w:p w14:paraId="14F84BF6" w14:textId="77777777" w:rsidR="008072FA" w:rsidRPr="008072FA" w:rsidRDefault="008072FA" w:rsidP="008072FA">
            <w:pPr>
              <w:jc w:val="center"/>
            </w:pPr>
            <w:r w:rsidRPr="008072FA">
              <w:t>GÖREV TANIMI FORMU</w:t>
            </w:r>
          </w:p>
        </w:tc>
      </w:tr>
      <w:tr w:rsidR="008072FA" w:rsidRPr="008072FA" w14:paraId="7CF79B00" w14:textId="77777777" w:rsidTr="008072FA">
        <w:tc>
          <w:tcPr>
            <w:tcW w:w="2367" w:type="dxa"/>
            <w:shd w:val="clear" w:color="auto" w:fill="8DB3E2" w:themeFill="text2" w:themeFillTint="66"/>
            <w:vAlign w:val="center"/>
          </w:tcPr>
          <w:p w14:paraId="12002D3B" w14:textId="77777777" w:rsidR="008072FA" w:rsidRPr="008072FA" w:rsidRDefault="008072FA" w:rsidP="008072FA">
            <w:r w:rsidRPr="008072FA">
              <w:t>Birim Adı</w:t>
            </w:r>
          </w:p>
        </w:tc>
        <w:tc>
          <w:tcPr>
            <w:tcW w:w="7097" w:type="dxa"/>
            <w:vAlign w:val="center"/>
          </w:tcPr>
          <w:p w14:paraId="2BD3F1FF" w14:textId="77777777" w:rsidR="008072FA" w:rsidRPr="008072FA" w:rsidRDefault="008072FA" w:rsidP="008072FA">
            <w:r w:rsidRPr="008072FA">
              <w:t>İdari ve Mali İşler Daire Başkanlığı</w:t>
            </w:r>
          </w:p>
        </w:tc>
      </w:tr>
      <w:tr w:rsidR="008072FA" w:rsidRPr="008072FA" w14:paraId="50C52829" w14:textId="77777777" w:rsidTr="008072FA">
        <w:tc>
          <w:tcPr>
            <w:tcW w:w="2367" w:type="dxa"/>
            <w:shd w:val="clear" w:color="auto" w:fill="8DB3E2" w:themeFill="text2" w:themeFillTint="66"/>
            <w:vAlign w:val="center"/>
          </w:tcPr>
          <w:p w14:paraId="42024743" w14:textId="77777777" w:rsidR="008072FA" w:rsidRPr="008072FA" w:rsidRDefault="008072FA" w:rsidP="008072FA">
            <w:r w:rsidRPr="008072FA">
              <w:t>Unvanı</w:t>
            </w:r>
          </w:p>
        </w:tc>
        <w:tc>
          <w:tcPr>
            <w:tcW w:w="7097" w:type="dxa"/>
            <w:vAlign w:val="center"/>
          </w:tcPr>
          <w:p w14:paraId="6C749D58" w14:textId="77777777" w:rsidR="008072FA" w:rsidRPr="008072FA" w:rsidRDefault="008072FA" w:rsidP="008072FA">
            <w:r w:rsidRPr="008072FA">
              <w:t>Bilgisayar İşletmeni</w:t>
            </w:r>
          </w:p>
        </w:tc>
      </w:tr>
      <w:tr w:rsidR="008072FA" w:rsidRPr="008072FA" w14:paraId="414A9B6F" w14:textId="77777777" w:rsidTr="008072FA">
        <w:tc>
          <w:tcPr>
            <w:tcW w:w="2367" w:type="dxa"/>
            <w:shd w:val="clear" w:color="auto" w:fill="8DB3E2" w:themeFill="text2" w:themeFillTint="66"/>
            <w:vAlign w:val="center"/>
          </w:tcPr>
          <w:p w14:paraId="36A29C04" w14:textId="77777777" w:rsidR="008072FA" w:rsidRPr="008072FA" w:rsidRDefault="008072FA" w:rsidP="008072FA">
            <w:r w:rsidRPr="008072FA">
              <w:t>Görevi</w:t>
            </w:r>
          </w:p>
        </w:tc>
        <w:tc>
          <w:tcPr>
            <w:tcW w:w="7097" w:type="dxa"/>
            <w:vAlign w:val="center"/>
          </w:tcPr>
          <w:p w14:paraId="1748073E" w14:textId="4A6B0AA5" w:rsidR="008072FA" w:rsidRPr="008072FA" w:rsidRDefault="008072FA" w:rsidP="008072FA">
            <w:r w:rsidRPr="008072FA">
              <w:t xml:space="preserve">Taşınır Kayıt Yetkilisi, </w:t>
            </w:r>
            <w:r w:rsidR="00D638E2" w:rsidRPr="008072FA">
              <w:t>Satın alma</w:t>
            </w:r>
            <w:r w:rsidRPr="008072FA">
              <w:t>, Taşınmaz Kiralama</w:t>
            </w:r>
          </w:p>
        </w:tc>
      </w:tr>
      <w:tr w:rsidR="008072FA" w:rsidRPr="008072FA" w14:paraId="6DFEFA7A" w14:textId="77777777" w:rsidTr="008072FA">
        <w:tc>
          <w:tcPr>
            <w:tcW w:w="2367" w:type="dxa"/>
            <w:shd w:val="clear" w:color="auto" w:fill="8DB3E2" w:themeFill="text2" w:themeFillTint="66"/>
            <w:vAlign w:val="center"/>
          </w:tcPr>
          <w:p w14:paraId="6639B6DB" w14:textId="77777777" w:rsidR="008072FA" w:rsidRPr="008072FA" w:rsidRDefault="008072FA" w:rsidP="008072FA">
            <w:r w:rsidRPr="008072FA">
              <w:t>Sınıfı</w:t>
            </w:r>
          </w:p>
        </w:tc>
        <w:tc>
          <w:tcPr>
            <w:tcW w:w="7097" w:type="dxa"/>
            <w:vAlign w:val="center"/>
          </w:tcPr>
          <w:p w14:paraId="4F28DEFA" w14:textId="77777777" w:rsidR="008072FA" w:rsidRPr="008072FA" w:rsidRDefault="008072FA" w:rsidP="008072FA">
            <w:r w:rsidRPr="008072FA">
              <w:t xml:space="preserve">Genel İdari Hizmetler </w:t>
            </w:r>
          </w:p>
        </w:tc>
      </w:tr>
      <w:tr w:rsidR="008072FA" w:rsidRPr="008072FA" w14:paraId="0E5DEF1E" w14:textId="77777777" w:rsidTr="008072FA">
        <w:tc>
          <w:tcPr>
            <w:tcW w:w="2367" w:type="dxa"/>
            <w:shd w:val="clear" w:color="auto" w:fill="8DB3E2" w:themeFill="text2" w:themeFillTint="66"/>
            <w:vAlign w:val="center"/>
          </w:tcPr>
          <w:p w14:paraId="69DC1C78" w14:textId="77777777" w:rsidR="008072FA" w:rsidRPr="008072FA" w:rsidRDefault="008072FA" w:rsidP="008072FA">
            <w:r w:rsidRPr="008072FA">
              <w:t>Üst Yöneticisi</w:t>
            </w:r>
          </w:p>
        </w:tc>
        <w:tc>
          <w:tcPr>
            <w:tcW w:w="7097" w:type="dxa"/>
            <w:vAlign w:val="center"/>
          </w:tcPr>
          <w:p w14:paraId="3C3D1511" w14:textId="66FD64EC" w:rsidR="008072FA" w:rsidRPr="008072FA" w:rsidRDefault="008072FA" w:rsidP="008072FA">
            <w:r w:rsidRPr="008072FA">
              <w:t xml:space="preserve">Genel Evrak, </w:t>
            </w:r>
            <w:r w:rsidR="00D638E2" w:rsidRPr="008072FA">
              <w:t>Satın alma</w:t>
            </w:r>
            <w:r w:rsidRPr="008072FA">
              <w:t xml:space="preserve"> ve Tahakkuk Şube Müdürü</w:t>
            </w:r>
          </w:p>
        </w:tc>
      </w:tr>
      <w:tr w:rsidR="008072FA" w:rsidRPr="008072FA" w14:paraId="6FB28DFE" w14:textId="77777777" w:rsidTr="008072FA">
        <w:tc>
          <w:tcPr>
            <w:tcW w:w="2367" w:type="dxa"/>
            <w:shd w:val="clear" w:color="auto" w:fill="8DB3E2" w:themeFill="text2" w:themeFillTint="66"/>
            <w:vAlign w:val="center"/>
          </w:tcPr>
          <w:p w14:paraId="44AAFF61" w14:textId="77777777" w:rsidR="008072FA" w:rsidRPr="008072FA" w:rsidRDefault="008072FA" w:rsidP="008072FA">
            <w:r w:rsidRPr="008072FA">
              <w:t>Kendisine Bağlı Birimler</w:t>
            </w:r>
          </w:p>
        </w:tc>
        <w:tc>
          <w:tcPr>
            <w:tcW w:w="7097" w:type="dxa"/>
            <w:vAlign w:val="center"/>
          </w:tcPr>
          <w:p w14:paraId="6F140FE4" w14:textId="77777777" w:rsidR="008072FA" w:rsidRPr="008072FA" w:rsidRDefault="008072FA" w:rsidP="008072FA">
            <w:r w:rsidRPr="008072FA">
              <w:t>-</w:t>
            </w:r>
          </w:p>
        </w:tc>
      </w:tr>
      <w:tr w:rsidR="008072FA" w:rsidRPr="008072FA" w14:paraId="5D36D020" w14:textId="77777777" w:rsidTr="008072FA">
        <w:tc>
          <w:tcPr>
            <w:tcW w:w="2367" w:type="dxa"/>
            <w:shd w:val="clear" w:color="auto" w:fill="8DB3E2" w:themeFill="text2" w:themeFillTint="66"/>
            <w:vAlign w:val="center"/>
          </w:tcPr>
          <w:p w14:paraId="2FFE4654" w14:textId="77777777" w:rsidR="008072FA" w:rsidRPr="008072FA" w:rsidRDefault="008072FA" w:rsidP="008072FA">
            <w:r w:rsidRPr="008072FA">
              <w:t>İş Birliği Yapacağı Birimler</w:t>
            </w:r>
          </w:p>
        </w:tc>
        <w:tc>
          <w:tcPr>
            <w:tcW w:w="7097" w:type="dxa"/>
            <w:vAlign w:val="center"/>
          </w:tcPr>
          <w:p w14:paraId="48DCE480" w14:textId="77777777" w:rsidR="008072FA" w:rsidRPr="008072FA" w:rsidRDefault="008072FA" w:rsidP="008072FA">
            <w:r w:rsidRPr="008072FA">
              <w:t>Tüm Birimler</w:t>
            </w:r>
          </w:p>
        </w:tc>
      </w:tr>
      <w:tr w:rsidR="008072FA" w:rsidRPr="008072FA" w14:paraId="1A817040" w14:textId="77777777" w:rsidTr="008072FA">
        <w:tc>
          <w:tcPr>
            <w:tcW w:w="2367" w:type="dxa"/>
            <w:shd w:val="clear" w:color="auto" w:fill="8DB3E2" w:themeFill="text2" w:themeFillTint="66"/>
            <w:vAlign w:val="center"/>
          </w:tcPr>
          <w:p w14:paraId="1ADB3C5C" w14:textId="77777777" w:rsidR="008072FA" w:rsidRPr="008072FA" w:rsidRDefault="008072FA" w:rsidP="008072FA">
            <w:r w:rsidRPr="008072FA">
              <w:t>Astları</w:t>
            </w:r>
          </w:p>
        </w:tc>
        <w:tc>
          <w:tcPr>
            <w:tcW w:w="7097" w:type="dxa"/>
            <w:vAlign w:val="center"/>
          </w:tcPr>
          <w:p w14:paraId="67A75C01" w14:textId="77777777" w:rsidR="008072FA" w:rsidRPr="008072FA" w:rsidRDefault="008072FA" w:rsidP="008072FA">
            <w:r w:rsidRPr="008072FA">
              <w:t>-</w:t>
            </w:r>
          </w:p>
        </w:tc>
      </w:tr>
      <w:tr w:rsidR="008072FA" w:rsidRPr="008072FA" w14:paraId="4831E3A4" w14:textId="77777777" w:rsidTr="008072FA">
        <w:tc>
          <w:tcPr>
            <w:tcW w:w="2367" w:type="dxa"/>
            <w:shd w:val="clear" w:color="auto" w:fill="8DB3E2" w:themeFill="text2" w:themeFillTint="66"/>
            <w:vAlign w:val="center"/>
          </w:tcPr>
          <w:p w14:paraId="72BC1193" w14:textId="77777777" w:rsidR="008072FA" w:rsidRPr="008072FA" w:rsidRDefault="008072FA" w:rsidP="008072FA">
            <w:r w:rsidRPr="008072FA">
              <w:t>Yokluğunda Vekâlet Eden</w:t>
            </w:r>
          </w:p>
        </w:tc>
        <w:tc>
          <w:tcPr>
            <w:tcW w:w="7097" w:type="dxa"/>
            <w:vAlign w:val="center"/>
          </w:tcPr>
          <w:p w14:paraId="33FB3BCD" w14:textId="77777777" w:rsidR="008072FA" w:rsidRPr="008072FA" w:rsidRDefault="008072FA" w:rsidP="008072FA">
            <w:r w:rsidRPr="008072FA">
              <w:t>Şube Müdürlüğünde Görevli İdari Personel</w:t>
            </w:r>
          </w:p>
        </w:tc>
      </w:tr>
      <w:tr w:rsidR="008072FA" w:rsidRPr="008072FA" w14:paraId="65D3D7FB" w14:textId="77777777" w:rsidTr="008072FA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3CF6DEF3" w14:textId="77777777" w:rsidR="008072FA" w:rsidRPr="008072FA" w:rsidRDefault="008072FA" w:rsidP="008072FA">
            <w:pPr>
              <w:jc w:val="center"/>
            </w:pPr>
            <w:r w:rsidRPr="008072FA">
              <w:t>1. Görevin/İşin Kısa Tanımı</w:t>
            </w:r>
          </w:p>
        </w:tc>
      </w:tr>
      <w:tr w:rsidR="008072FA" w:rsidRPr="008072FA" w14:paraId="40E16AE3" w14:textId="77777777" w:rsidTr="008072FA">
        <w:trPr>
          <w:trHeight w:val="1638"/>
        </w:trPr>
        <w:tc>
          <w:tcPr>
            <w:tcW w:w="9464" w:type="dxa"/>
            <w:gridSpan w:val="2"/>
            <w:vAlign w:val="center"/>
          </w:tcPr>
          <w:p w14:paraId="0B11B1DF" w14:textId="5B57CDBD" w:rsidR="008072FA" w:rsidRPr="008072FA" w:rsidRDefault="00D638E2" w:rsidP="00312D02">
            <w:pPr>
              <w:jc w:val="both"/>
            </w:pPr>
            <w:r>
              <w:t>Birimlerin</w:t>
            </w:r>
            <w:r w:rsidR="008072FA" w:rsidRPr="008072FA">
              <w:t xml:space="preserve"> ihtiyaçlarına yönelik mal ve malzeme temin </w:t>
            </w:r>
            <w:r w:rsidR="00167BCD" w:rsidRPr="008072FA">
              <w:t xml:space="preserve">işlemlerini </w:t>
            </w:r>
            <w:r w:rsidR="00167BCD">
              <w:t>DMO</w:t>
            </w:r>
            <w:r w:rsidR="00312D02">
              <w:t xml:space="preserve"> </w:t>
            </w:r>
            <w:r w:rsidR="00167BCD" w:rsidRPr="008072FA">
              <w:t>katalog</w:t>
            </w:r>
            <w:r w:rsidR="00167BCD">
              <w:t>,</w:t>
            </w:r>
            <w:r w:rsidR="00167BCD" w:rsidRPr="008072FA">
              <w:t xml:space="preserve"> kredili</w:t>
            </w:r>
            <w:r w:rsidR="00312D02" w:rsidRPr="008072FA">
              <w:t xml:space="preserve"> satış</w:t>
            </w:r>
            <w:r w:rsidR="00312D02">
              <w:t>, d</w:t>
            </w:r>
            <w:r w:rsidR="008072FA" w:rsidRPr="008072FA">
              <w:t xml:space="preserve">oğrudan </w:t>
            </w:r>
            <w:r w:rsidR="00312D02">
              <w:t>t</w:t>
            </w:r>
            <w:r w:rsidR="008072FA" w:rsidRPr="008072FA">
              <w:t>emin</w:t>
            </w:r>
            <w:r w:rsidR="00312D02">
              <w:t xml:space="preserve"> satın alma yöntemleri ile alımını yap</w:t>
            </w:r>
            <w:r w:rsidR="00761463">
              <w:t>arak</w:t>
            </w:r>
            <w:r w:rsidR="008072FA" w:rsidRPr="008072FA">
              <w:t xml:space="preserve">, taşınır kayıt </w:t>
            </w:r>
            <w:r w:rsidR="00312D02">
              <w:t xml:space="preserve">yetkilisi olarak mal/malzemelerin giriş, devir, </w:t>
            </w:r>
            <w:r w:rsidR="00BB4DF4">
              <w:t>stok kontrolü, zimmet</w:t>
            </w:r>
            <w:r>
              <w:t>,</w:t>
            </w:r>
            <w:r w:rsidR="008072FA" w:rsidRPr="008072FA">
              <w:t xml:space="preserve"> hurdaya ayırma</w:t>
            </w:r>
            <w:r>
              <w:t xml:space="preserve"> vb.</w:t>
            </w:r>
            <w:r w:rsidR="008072FA" w:rsidRPr="008072FA">
              <w:t xml:space="preserve"> </w:t>
            </w:r>
            <w:r w:rsidR="00312D02">
              <w:t>işlemlerini</w:t>
            </w:r>
            <w:r w:rsidR="008072FA" w:rsidRPr="008072FA">
              <w:t xml:space="preserve"> </w:t>
            </w:r>
            <w:r w:rsidR="00312D02">
              <w:t>yürüt</w:t>
            </w:r>
            <w:r w:rsidR="00761463">
              <w:t>ür</w:t>
            </w:r>
            <w:r>
              <w:t>. T</w:t>
            </w:r>
            <w:r w:rsidR="008072FA" w:rsidRPr="008072FA">
              <w:t>aşınmaz kiralama</w:t>
            </w:r>
            <w:r w:rsidR="00B40F2B">
              <w:t xml:space="preserve"> ihalelerine ait</w:t>
            </w:r>
            <w:r w:rsidR="008072FA" w:rsidRPr="008072FA">
              <w:t xml:space="preserve"> </w:t>
            </w:r>
            <w:r w:rsidR="00312D02">
              <w:t xml:space="preserve">iş ve </w:t>
            </w:r>
            <w:r w:rsidR="008072FA" w:rsidRPr="008072FA">
              <w:t xml:space="preserve">işlemlerini </w:t>
            </w:r>
            <w:r w:rsidR="00312D02">
              <w:t>gerçekleştirmek</w:t>
            </w:r>
            <w:r w:rsidR="00BB4DF4">
              <w:t xml:space="preserve"> ve </w:t>
            </w:r>
            <w:r w:rsidR="00312D02">
              <w:t>Başkanlık</w:t>
            </w:r>
            <w:r w:rsidR="008072FA" w:rsidRPr="008072FA">
              <w:t xml:space="preserve"> kalite yönetimi, iç kontrol, stratejik planlama ve raporlama süreçlerin</w:t>
            </w:r>
            <w:r>
              <w:t>i</w:t>
            </w:r>
            <w:r w:rsidR="008072FA" w:rsidRPr="008072FA">
              <w:t xml:space="preserve"> yerine getirmek</w:t>
            </w:r>
            <w:r w:rsidR="008072FA">
              <w:t>le sorumludur.</w:t>
            </w:r>
          </w:p>
        </w:tc>
      </w:tr>
      <w:tr w:rsidR="008072FA" w:rsidRPr="008072FA" w14:paraId="643CEBE4" w14:textId="77777777" w:rsidTr="008072FA">
        <w:trPr>
          <w:trHeight w:val="378"/>
        </w:trPr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22CE6D1E" w14:textId="77777777" w:rsidR="008072FA" w:rsidRPr="008072FA" w:rsidRDefault="008072FA" w:rsidP="008072FA">
            <w:pPr>
              <w:jc w:val="center"/>
            </w:pPr>
            <w:r w:rsidRPr="008072FA">
              <w:t>2. Yetki ve Sorumluluklar</w:t>
            </w:r>
          </w:p>
        </w:tc>
      </w:tr>
      <w:tr w:rsidR="008072FA" w:rsidRPr="008072FA" w14:paraId="2D8A7169" w14:textId="77777777" w:rsidTr="008072FA">
        <w:trPr>
          <w:trHeight w:val="1691"/>
        </w:trPr>
        <w:tc>
          <w:tcPr>
            <w:tcW w:w="9464" w:type="dxa"/>
            <w:gridSpan w:val="2"/>
            <w:vAlign w:val="center"/>
          </w:tcPr>
          <w:p w14:paraId="10327B6C" w14:textId="12472DE0" w:rsidR="008072FA" w:rsidRDefault="008072FA" w:rsidP="00BB4DF4">
            <w:pPr>
              <w:pStyle w:val="ListeParagraf"/>
              <w:numPr>
                <w:ilvl w:val="0"/>
                <w:numId w:val="34"/>
              </w:numPr>
              <w:ind w:left="284"/>
              <w:jc w:val="both"/>
            </w:pPr>
            <w:r w:rsidRPr="008072FA">
              <w:t xml:space="preserve">Birimler tarafından talep edilen mal/malzemelerin 4734 sayılı Kanunun 3/e maddesince DMO alımları </w:t>
            </w:r>
            <w:r>
              <w:t>(</w:t>
            </w:r>
            <w:r w:rsidR="00625E93">
              <w:t>katalog</w:t>
            </w:r>
            <w:r w:rsidR="00786CC4">
              <w:t xml:space="preserve"> ve</w:t>
            </w:r>
            <w:r>
              <w:t xml:space="preserve"> kredili satış)</w:t>
            </w:r>
            <w:r w:rsidR="00312D02">
              <w:t xml:space="preserve"> ile</w:t>
            </w:r>
            <w:r w:rsidR="00D638E2">
              <w:t xml:space="preserve"> doğrudan temin alımlarına ait</w:t>
            </w:r>
            <w:r>
              <w:t xml:space="preserve"> </w:t>
            </w:r>
            <w:r w:rsidRPr="008072FA">
              <w:t>iş ve işlemleri yürütmek.</w:t>
            </w:r>
          </w:p>
          <w:p w14:paraId="6C4C9C74" w14:textId="74A78407" w:rsidR="005475E8" w:rsidRPr="008072FA" w:rsidRDefault="005475E8" w:rsidP="005475E8">
            <w:pPr>
              <w:pStyle w:val="ListeParagraf"/>
              <w:numPr>
                <w:ilvl w:val="0"/>
                <w:numId w:val="34"/>
              </w:numPr>
              <w:ind w:left="284"/>
              <w:jc w:val="both"/>
            </w:pPr>
            <w:r w:rsidRPr="008072FA">
              <w:t>Satın alınan malzemelerin teslim alımını ve uygunluk kontrolünü yapmak, fatura ve kayıt işlemlerini yürütmek.</w:t>
            </w:r>
          </w:p>
          <w:p w14:paraId="2150F1B0" w14:textId="66479604" w:rsidR="005475E8" w:rsidRDefault="008072FA" w:rsidP="005475E8">
            <w:pPr>
              <w:pStyle w:val="ListeParagraf"/>
              <w:numPr>
                <w:ilvl w:val="0"/>
                <w:numId w:val="34"/>
              </w:numPr>
              <w:ind w:left="284"/>
              <w:jc w:val="both"/>
            </w:pPr>
            <w:r w:rsidRPr="008072FA">
              <w:t>Taşınır Kayıt Yetkilisi olarak satın alınan mal/malzemelerin TKYS girişlerini yapmak; taşınır</w:t>
            </w:r>
            <w:r w:rsidR="00D638E2">
              <w:t xml:space="preserve"> ve</w:t>
            </w:r>
            <w:r w:rsidRPr="008072FA">
              <w:t xml:space="preserve"> tüketim malzemeleri </w:t>
            </w:r>
            <w:r w:rsidR="00D638E2">
              <w:t>ile</w:t>
            </w:r>
            <w:r w:rsidRPr="008072FA">
              <w:t xml:space="preserve"> araç-gereçlerin muhafazasını sağlamak, ambarlar arası veya harcama birimleri arası devrini gerçekleştirmek</w:t>
            </w:r>
            <w:r w:rsidR="005475E8">
              <w:t>.</w:t>
            </w:r>
          </w:p>
          <w:p w14:paraId="04DF23CB" w14:textId="54C8C530" w:rsidR="005475E8" w:rsidRDefault="005475E8" w:rsidP="005475E8">
            <w:pPr>
              <w:pStyle w:val="ListeParagraf"/>
              <w:numPr>
                <w:ilvl w:val="0"/>
                <w:numId w:val="34"/>
              </w:numPr>
              <w:ind w:left="284"/>
              <w:jc w:val="both"/>
            </w:pPr>
            <w:r w:rsidRPr="008072FA">
              <w:t>Devretme ve devir alma evraklarının muhasebeye işlenmesi için Strateji Geliştirme Başkanlığına göndermek.</w:t>
            </w:r>
          </w:p>
          <w:p w14:paraId="0F15D166" w14:textId="77777777" w:rsidR="005475E8" w:rsidRDefault="005475E8" w:rsidP="005475E8">
            <w:pPr>
              <w:pStyle w:val="ListeParagraf"/>
              <w:numPr>
                <w:ilvl w:val="0"/>
                <w:numId w:val="34"/>
              </w:numPr>
              <w:ind w:left="284"/>
              <w:jc w:val="both"/>
            </w:pPr>
            <w:r>
              <w:t>D</w:t>
            </w:r>
            <w:r w:rsidR="008072FA" w:rsidRPr="008072FA">
              <w:t>emirbaş malzemeleri birimlerdeki kullanıcılara zimmetleyerek ambar çıkışını yapmak</w:t>
            </w:r>
            <w:r>
              <w:t xml:space="preserve">, </w:t>
            </w:r>
          </w:p>
          <w:p w14:paraId="12BCF218" w14:textId="77777777" w:rsidR="005475E8" w:rsidRDefault="005475E8" w:rsidP="005475E8">
            <w:pPr>
              <w:pStyle w:val="ListeParagraf"/>
              <w:numPr>
                <w:ilvl w:val="0"/>
                <w:numId w:val="34"/>
              </w:numPr>
              <w:ind w:left="284"/>
              <w:jc w:val="both"/>
            </w:pPr>
            <w:r w:rsidRPr="008072FA">
              <w:t>Taşınır İşlem Fişi düzenlemek</w:t>
            </w:r>
            <w:r w:rsidR="00D638E2">
              <w:t>,</w:t>
            </w:r>
            <w:r w:rsidR="008072FA" w:rsidRPr="008072FA">
              <w:t xml:space="preserve"> </w:t>
            </w:r>
          </w:p>
          <w:p w14:paraId="7BB59FCB" w14:textId="75A03106" w:rsidR="008072FA" w:rsidRPr="008072FA" w:rsidRDefault="005475E8" w:rsidP="005475E8">
            <w:pPr>
              <w:pStyle w:val="ListeParagraf"/>
              <w:numPr>
                <w:ilvl w:val="0"/>
                <w:numId w:val="34"/>
              </w:numPr>
              <w:ind w:left="284"/>
              <w:jc w:val="both"/>
            </w:pPr>
            <w:r>
              <w:t>Y</w:t>
            </w:r>
            <w:r w:rsidR="008072FA" w:rsidRPr="008072FA">
              <w:t>ılsonu ambar sayımı</w:t>
            </w:r>
            <w:r w:rsidR="00D638E2">
              <w:t>nı yaparak</w:t>
            </w:r>
            <w:r w:rsidR="008072FA" w:rsidRPr="008072FA">
              <w:t xml:space="preserve"> </w:t>
            </w:r>
            <w:r w:rsidR="00D638E2">
              <w:t>mevzuatta belirtilen cetvel ve</w:t>
            </w:r>
            <w:r w:rsidR="008072FA" w:rsidRPr="008072FA">
              <w:t xml:space="preserve"> tabloları </w:t>
            </w:r>
            <w:r w:rsidRPr="008072FA">
              <w:t>hazırlamak</w:t>
            </w:r>
            <w:r>
              <w:t xml:space="preserve">, </w:t>
            </w:r>
            <w:r w:rsidRPr="008072FA">
              <w:t>harcama</w:t>
            </w:r>
            <w:r w:rsidRPr="008072FA">
              <w:t xml:space="preserve"> birimi Taşınır Mal Yönetim Hesabı Cetvellerini oluşturmak.</w:t>
            </w:r>
          </w:p>
          <w:p w14:paraId="27A1EA05" w14:textId="4B85BF2F" w:rsidR="008072FA" w:rsidRPr="008072FA" w:rsidRDefault="008072FA" w:rsidP="005475E8">
            <w:pPr>
              <w:pStyle w:val="ListeParagraf"/>
              <w:numPr>
                <w:ilvl w:val="0"/>
                <w:numId w:val="34"/>
              </w:numPr>
              <w:ind w:left="284"/>
              <w:jc w:val="both"/>
            </w:pPr>
            <w:r w:rsidRPr="008072FA">
              <w:t>Tüketim veya kullanıma verilmesi uygun görülen taşınırları ilgililere teslim etmek; depo sayımı ve stok kontrolü yapmak, asgari stok seviyesinin altına düşen taşınırları harcama yetkilisine bildirmek.</w:t>
            </w:r>
          </w:p>
          <w:p w14:paraId="304DBD9D" w14:textId="77777777" w:rsidR="008072FA" w:rsidRPr="008072FA" w:rsidRDefault="008072FA" w:rsidP="008072FA">
            <w:pPr>
              <w:pStyle w:val="ListeParagraf"/>
              <w:numPr>
                <w:ilvl w:val="0"/>
                <w:numId w:val="34"/>
              </w:numPr>
              <w:ind w:left="284"/>
              <w:jc w:val="both"/>
            </w:pPr>
            <w:r w:rsidRPr="008072FA">
              <w:t>Taşınır kodu olmayan malzemeler için yeni taşınır kodu tanımlamak.</w:t>
            </w:r>
          </w:p>
          <w:p w14:paraId="316FEB3B" w14:textId="77777777" w:rsidR="008072FA" w:rsidRPr="008072FA" w:rsidRDefault="008072FA" w:rsidP="008072FA">
            <w:pPr>
              <w:pStyle w:val="ListeParagraf"/>
              <w:numPr>
                <w:ilvl w:val="0"/>
                <w:numId w:val="34"/>
              </w:numPr>
              <w:ind w:left="284"/>
              <w:jc w:val="both"/>
            </w:pPr>
            <w:r w:rsidRPr="008072FA">
              <w:t>Taşınırların yangın, ısınma, bozulma, çalınma vb. tehlikelere karşı korunmasını sağlamak.</w:t>
            </w:r>
          </w:p>
          <w:p w14:paraId="2D9FFCF1" w14:textId="6AB2369F" w:rsidR="008072FA" w:rsidRDefault="008072FA" w:rsidP="00BB4DF4">
            <w:pPr>
              <w:pStyle w:val="ListeParagraf"/>
              <w:numPr>
                <w:ilvl w:val="0"/>
                <w:numId w:val="34"/>
              </w:numPr>
              <w:spacing w:after="200" w:line="276" w:lineRule="auto"/>
              <w:ind w:left="284"/>
              <w:jc w:val="both"/>
            </w:pPr>
            <w:r w:rsidRPr="008072FA">
              <w:t xml:space="preserve">Başkanlık </w:t>
            </w:r>
            <w:r w:rsidR="00BB4DF4">
              <w:t>bünyesinde</w:t>
            </w:r>
            <w:r w:rsidRPr="008072FA">
              <w:t xml:space="preserve">, </w:t>
            </w:r>
            <w:r w:rsidR="00BB4DF4">
              <w:t xml:space="preserve">kalite, </w:t>
            </w:r>
            <w:r w:rsidRPr="008072FA">
              <w:t xml:space="preserve">birim öz değerlendirme, kurumsal risk yönetimi, stratejik planlama, iç kontrol ve yıllık faaliyet raporları </w:t>
            </w:r>
            <w:r w:rsidR="00BB4DF4">
              <w:t xml:space="preserve">ve </w:t>
            </w:r>
            <w:r w:rsidR="00BB4DF4" w:rsidRPr="008072FA">
              <w:t>tasarruf tedbirlerine ait raporları</w:t>
            </w:r>
            <w:r w:rsidR="00786CC4">
              <w:t xml:space="preserve"> düzenlemek</w:t>
            </w:r>
            <w:r w:rsidR="00BB4DF4" w:rsidRPr="008072FA">
              <w:t>.</w:t>
            </w:r>
          </w:p>
          <w:p w14:paraId="6DB78077" w14:textId="30EFC326" w:rsidR="008072FA" w:rsidRPr="008072FA" w:rsidRDefault="00BB4DF4" w:rsidP="008072FA">
            <w:pPr>
              <w:pStyle w:val="ListeParagraf"/>
              <w:numPr>
                <w:ilvl w:val="0"/>
                <w:numId w:val="34"/>
              </w:numPr>
              <w:ind w:left="284"/>
              <w:jc w:val="both"/>
            </w:pPr>
            <w:r>
              <w:t xml:space="preserve">2886 sayılı kanun kapsamında </w:t>
            </w:r>
            <w:r w:rsidR="005475E8">
              <w:t>t</w:t>
            </w:r>
            <w:r w:rsidR="008072FA" w:rsidRPr="008072FA">
              <w:t>aşınmaz kiralama ihalesi evraklarını hazırlamak; ihalelerin yapılmasını sağlamak, kira sözleşmelerini hazırlamak ve mahallinde yer teslimlerini yapmak.</w:t>
            </w:r>
          </w:p>
          <w:p w14:paraId="33C84A0B" w14:textId="77777777" w:rsidR="008072FA" w:rsidRPr="008072FA" w:rsidRDefault="008072FA" w:rsidP="008072FA">
            <w:pPr>
              <w:pStyle w:val="ListeParagraf"/>
              <w:numPr>
                <w:ilvl w:val="0"/>
                <w:numId w:val="34"/>
              </w:numPr>
              <w:ind w:left="284"/>
              <w:jc w:val="both"/>
            </w:pPr>
            <w:r w:rsidRPr="008072FA">
              <w:t>İhale sonuçlarını ilgili mercilere bildirmek; geçici teminat iadeleri, kira sözleşmesi fesihleri, kesin teminat ia</w:t>
            </w:r>
            <w:r w:rsidR="00BB4DF4">
              <w:t>deleri, yer kullanım bedelleri</w:t>
            </w:r>
            <w:r w:rsidRPr="008072FA">
              <w:t xml:space="preserve"> hesaplamalarını yürütmek.</w:t>
            </w:r>
          </w:p>
          <w:p w14:paraId="25CD68BB" w14:textId="77777777" w:rsidR="008072FA" w:rsidRPr="008072FA" w:rsidRDefault="008072FA" w:rsidP="008072FA">
            <w:pPr>
              <w:pStyle w:val="ListeParagraf"/>
              <w:numPr>
                <w:ilvl w:val="0"/>
                <w:numId w:val="34"/>
              </w:numPr>
              <w:ind w:left="284"/>
              <w:jc w:val="both"/>
            </w:pPr>
            <w:r w:rsidRPr="008072FA">
              <w:t>Taşınmazların kira sözleşme süresi bitimine en az 1 ay kala bitiş tarihlerini kiracılara bildirmek; tahliye işlemlerini gerçekleştirmek.</w:t>
            </w:r>
          </w:p>
          <w:p w14:paraId="54379484" w14:textId="77777777" w:rsidR="008072FA" w:rsidRPr="008072FA" w:rsidRDefault="008072FA" w:rsidP="008072FA">
            <w:pPr>
              <w:pStyle w:val="ListeParagraf"/>
              <w:numPr>
                <w:ilvl w:val="0"/>
                <w:numId w:val="34"/>
              </w:numPr>
              <w:ind w:left="284"/>
              <w:jc w:val="both"/>
            </w:pPr>
            <w:r w:rsidRPr="008072FA">
              <w:t>Başkanlık bünyesinde İŞKUR kapsamında İUP öğrenci katılımcılarının puantaj, devam-devamsızlık kayıtları, ödemeye esas çizelgeler, yazışmalar ve diğer özlük süreçlerine ilişkin iş ve işlemleri takip etmek, gerekli kayıt ve bildirimi ilgili birime zamanında iletmek.</w:t>
            </w:r>
          </w:p>
          <w:p w14:paraId="734969D6" w14:textId="77777777" w:rsidR="008072FA" w:rsidRDefault="008072FA" w:rsidP="008072FA">
            <w:pPr>
              <w:pStyle w:val="ListeParagraf"/>
              <w:numPr>
                <w:ilvl w:val="0"/>
                <w:numId w:val="34"/>
              </w:numPr>
              <w:ind w:left="284"/>
              <w:jc w:val="both"/>
            </w:pPr>
            <w:r w:rsidRPr="008072FA">
              <w:t>Başkan ve şube müdürü tarafından verilen diğer görevleri yürütmek</w:t>
            </w:r>
            <w:r w:rsidR="00034B31">
              <w:t>.</w:t>
            </w:r>
          </w:p>
          <w:p w14:paraId="626E276F" w14:textId="77777777" w:rsidR="00034B31" w:rsidRDefault="00034B31" w:rsidP="00034B31">
            <w:pPr>
              <w:pStyle w:val="ListeParagraf"/>
              <w:ind w:left="284"/>
              <w:jc w:val="both"/>
            </w:pPr>
          </w:p>
          <w:p w14:paraId="1A31AE5B" w14:textId="77777777" w:rsidR="00034B31" w:rsidRDefault="00034B31" w:rsidP="00034B31">
            <w:pPr>
              <w:jc w:val="both"/>
            </w:pPr>
          </w:p>
          <w:p w14:paraId="7F9C62E2" w14:textId="77777777" w:rsidR="005475E8" w:rsidRPr="008072FA" w:rsidRDefault="005475E8" w:rsidP="00034B31">
            <w:pPr>
              <w:jc w:val="both"/>
            </w:pPr>
          </w:p>
        </w:tc>
      </w:tr>
      <w:tr w:rsidR="008072FA" w:rsidRPr="008072FA" w14:paraId="79456A0B" w14:textId="77777777" w:rsidTr="008072FA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332DA5FB" w14:textId="25AEFB5D" w:rsidR="008072FA" w:rsidRPr="008072FA" w:rsidRDefault="008072FA" w:rsidP="008072FA">
            <w:pPr>
              <w:jc w:val="center"/>
            </w:pPr>
            <w:r w:rsidRPr="008072FA">
              <w:lastRenderedPageBreak/>
              <w:t>3. Bağlı Olduğu Mevzuat</w:t>
            </w:r>
          </w:p>
        </w:tc>
      </w:tr>
      <w:tr w:rsidR="008072FA" w:rsidRPr="008072FA" w14:paraId="74C95DD6" w14:textId="77777777" w:rsidTr="008072FA">
        <w:trPr>
          <w:trHeight w:val="4243"/>
        </w:trPr>
        <w:tc>
          <w:tcPr>
            <w:tcW w:w="9464" w:type="dxa"/>
            <w:gridSpan w:val="2"/>
            <w:vAlign w:val="center"/>
          </w:tcPr>
          <w:p w14:paraId="77021C5B" w14:textId="4DCFEEA8" w:rsidR="008072FA" w:rsidRPr="008072FA" w:rsidRDefault="008072FA" w:rsidP="008072FA">
            <w:pPr>
              <w:rPr>
                <w:rFonts w:eastAsia="Times New Roman"/>
                <w:lang w:eastAsia="tr-TR"/>
              </w:rPr>
            </w:pPr>
            <w:r w:rsidRPr="008072FA">
              <w:rPr>
                <w:rFonts w:eastAsia="Times New Roman"/>
                <w:bCs/>
                <w:lang w:eastAsia="tr-TR"/>
              </w:rPr>
              <w:t xml:space="preserve">657 </w:t>
            </w:r>
            <w:r w:rsidR="009F0DF6">
              <w:rPr>
                <w:rFonts w:eastAsia="Times New Roman"/>
                <w:bCs/>
                <w:lang w:eastAsia="tr-TR"/>
              </w:rPr>
              <w:t>s</w:t>
            </w:r>
            <w:r w:rsidRPr="008072FA">
              <w:rPr>
                <w:rFonts w:eastAsia="Times New Roman"/>
                <w:bCs/>
                <w:lang w:eastAsia="tr-TR"/>
              </w:rPr>
              <w:t>ayılı Devlet Memurları Kanunu</w:t>
            </w:r>
          </w:p>
          <w:p w14:paraId="4BCE4923" w14:textId="49954BCA" w:rsidR="008072FA" w:rsidRPr="00D638E2" w:rsidRDefault="008072FA" w:rsidP="008072FA">
            <w:pPr>
              <w:rPr>
                <w:rFonts w:eastAsia="Times New Roman"/>
                <w:lang w:eastAsia="tr-TR"/>
              </w:rPr>
            </w:pPr>
            <w:r w:rsidRPr="008072FA">
              <w:rPr>
                <w:rFonts w:eastAsia="Times New Roman"/>
                <w:bCs/>
                <w:lang w:eastAsia="tr-TR"/>
              </w:rPr>
              <w:t xml:space="preserve">2547 </w:t>
            </w:r>
            <w:r w:rsidR="009F0DF6">
              <w:rPr>
                <w:rFonts w:eastAsia="Times New Roman"/>
                <w:bCs/>
                <w:lang w:eastAsia="tr-TR"/>
              </w:rPr>
              <w:t>s</w:t>
            </w:r>
            <w:r w:rsidRPr="008072FA">
              <w:rPr>
                <w:rFonts w:eastAsia="Times New Roman"/>
                <w:bCs/>
                <w:lang w:eastAsia="tr-TR"/>
              </w:rPr>
              <w:t>ayılı Yükseköğretim Kanunu</w:t>
            </w:r>
          </w:p>
          <w:p w14:paraId="43D8A652" w14:textId="1E460DB4" w:rsidR="008072FA" w:rsidRPr="008072FA" w:rsidRDefault="008072FA" w:rsidP="008072FA">
            <w:pPr>
              <w:rPr>
                <w:rFonts w:eastAsia="Times New Roman"/>
                <w:lang w:eastAsia="tr-TR"/>
              </w:rPr>
            </w:pPr>
            <w:r w:rsidRPr="008072FA">
              <w:rPr>
                <w:rFonts w:eastAsia="Times New Roman"/>
                <w:bCs/>
                <w:lang w:eastAsia="tr-TR"/>
              </w:rPr>
              <w:t xml:space="preserve">5018 </w:t>
            </w:r>
            <w:r w:rsidR="009F0DF6">
              <w:rPr>
                <w:rFonts w:eastAsia="Times New Roman"/>
                <w:bCs/>
                <w:lang w:eastAsia="tr-TR"/>
              </w:rPr>
              <w:t>s</w:t>
            </w:r>
            <w:r w:rsidRPr="008072FA">
              <w:rPr>
                <w:rFonts w:eastAsia="Times New Roman"/>
                <w:bCs/>
                <w:lang w:eastAsia="tr-TR"/>
              </w:rPr>
              <w:t>ayılı Kamu Mali Yönetimi ve Kontrol Kanunu</w:t>
            </w:r>
          </w:p>
          <w:p w14:paraId="69717320" w14:textId="0BCA068C" w:rsidR="008072FA" w:rsidRPr="008072FA" w:rsidRDefault="008072FA" w:rsidP="008072FA">
            <w:pPr>
              <w:rPr>
                <w:rFonts w:eastAsia="Times New Roman"/>
                <w:lang w:eastAsia="tr-TR"/>
              </w:rPr>
            </w:pPr>
            <w:r w:rsidRPr="008072FA">
              <w:rPr>
                <w:rFonts w:eastAsia="Times New Roman"/>
                <w:bCs/>
                <w:lang w:eastAsia="tr-TR"/>
              </w:rPr>
              <w:t xml:space="preserve">2886 </w:t>
            </w:r>
            <w:r w:rsidR="009F0DF6">
              <w:rPr>
                <w:rFonts w:eastAsia="Times New Roman"/>
                <w:bCs/>
                <w:lang w:eastAsia="tr-TR"/>
              </w:rPr>
              <w:t>s</w:t>
            </w:r>
            <w:r w:rsidRPr="008072FA">
              <w:rPr>
                <w:rFonts w:eastAsia="Times New Roman"/>
                <w:bCs/>
                <w:lang w:eastAsia="tr-TR"/>
              </w:rPr>
              <w:t>ayılı Devlet İhale Kanunu</w:t>
            </w:r>
          </w:p>
          <w:p w14:paraId="405A7C93" w14:textId="5A3095A7" w:rsidR="008072FA" w:rsidRPr="008072FA" w:rsidRDefault="008072FA" w:rsidP="008072FA">
            <w:pPr>
              <w:rPr>
                <w:rFonts w:eastAsia="Times New Roman"/>
                <w:lang w:eastAsia="tr-TR"/>
              </w:rPr>
            </w:pPr>
            <w:r w:rsidRPr="008072FA">
              <w:rPr>
                <w:rFonts w:eastAsia="Times New Roman"/>
                <w:bCs/>
                <w:lang w:eastAsia="tr-TR"/>
              </w:rPr>
              <w:t xml:space="preserve">4734 </w:t>
            </w:r>
            <w:r w:rsidR="009F0DF6">
              <w:rPr>
                <w:rFonts w:eastAsia="Times New Roman"/>
                <w:bCs/>
                <w:lang w:eastAsia="tr-TR"/>
              </w:rPr>
              <w:t>s</w:t>
            </w:r>
            <w:r w:rsidRPr="008072FA">
              <w:rPr>
                <w:rFonts w:eastAsia="Times New Roman"/>
                <w:bCs/>
                <w:lang w:eastAsia="tr-TR"/>
              </w:rPr>
              <w:t>ayılı Kamu İhale Kanunu</w:t>
            </w:r>
          </w:p>
          <w:p w14:paraId="6A69E718" w14:textId="72F1EB3F" w:rsidR="008072FA" w:rsidRPr="008072FA" w:rsidRDefault="008072FA" w:rsidP="008072FA">
            <w:pPr>
              <w:rPr>
                <w:rFonts w:eastAsia="Times New Roman"/>
                <w:lang w:eastAsia="tr-TR"/>
              </w:rPr>
            </w:pPr>
            <w:r w:rsidRPr="008072FA">
              <w:rPr>
                <w:rFonts w:eastAsia="Times New Roman"/>
                <w:bCs/>
                <w:lang w:eastAsia="tr-TR"/>
              </w:rPr>
              <w:t xml:space="preserve">4735 </w:t>
            </w:r>
            <w:r w:rsidR="009F0DF6">
              <w:rPr>
                <w:rFonts w:eastAsia="Times New Roman"/>
                <w:bCs/>
                <w:lang w:eastAsia="tr-TR"/>
              </w:rPr>
              <w:t>s</w:t>
            </w:r>
            <w:r w:rsidRPr="008072FA">
              <w:rPr>
                <w:rFonts w:eastAsia="Times New Roman"/>
                <w:bCs/>
                <w:lang w:eastAsia="tr-TR"/>
              </w:rPr>
              <w:t>ayılı Kamu İhale Sözleşmeleri Kanunu</w:t>
            </w:r>
          </w:p>
          <w:p w14:paraId="7BD37FCC" w14:textId="73B91358" w:rsidR="008072FA" w:rsidRPr="008072FA" w:rsidRDefault="008072FA" w:rsidP="008072FA">
            <w:pPr>
              <w:rPr>
                <w:rFonts w:eastAsia="Times New Roman"/>
                <w:lang w:eastAsia="tr-TR"/>
              </w:rPr>
            </w:pPr>
            <w:r w:rsidRPr="008072FA">
              <w:rPr>
                <w:rFonts w:eastAsia="Times New Roman"/>
                <w:bCs/>
                <w:lang w:eastAsia="tr-TR"/>
              </w:rPr>
              <w:t xml:space="preserve">6183 </w:t>
            </w:r>
            <w:r w:rsidR="009F0DF6">
              <w:rPr>
                <w:rFonts w:eastAsia="Times New Roman"/>
                <w:bCs/>
                <w:lang w:eastAsia="tr-TR"/>
              </w:rPr>
              <w:t>s</w:t>
            </w:r>
            <w:r w:rsidRPr="008072FA">
              <w:rPr>
                <w:rFonts w:eastAsia="Times New Roman"/>
                <w:bCs/>
                <w:lang w:eastAsia="tr-TR"/>
              </w:rPr>
              <w:t>ayılı Amme Alacaklarının Tahsil Usulü Hakkında Kanun</w:t>
            </w:r>
          </w:p>
          <w:p w14:paraId="7BDAAD84" w14:textId="7EAF971C" w:rsidR="008072FA" w:rsidRPr="008072FA" w:rsidRDefault="008072FA" w:rsidP="008072FA">
            <w:pPr>
              <w:rPr>
                <w:rFonts w:eastAsia="Times New Roman"/>
                <w:lang w:eastAsia="tr-TR"/>
              </w:rPr>
            </w:pPr>
            <w:r w:rsidRPr="008072FA">
              <w:rPr>
                <w:rFonts w:eastAsia="Times New Roman"/>
                <w:bCs/>
                <w:lang w:eastAsia="tr-TR"/>
              </w:rPr>
              <w:t xml:space="preserve">3065 </w:t>
            </w:r>
            <w:r w:rsidR="009F0DF6">
              <w:rPr>
                <w:rFonts w:eastAsia="Times New Roman"/>
                <w:bCs/>
                <w:lang w:eastAsia="tr-TR"/>
              </w:rPr>
              <w:t>s</w:t>
            </w:r>
            <w:r w:rsidRPr="008072FA">
              <w:rPr>
                <w:rFonts w:eastAsia="Times New Roman"/>
                <w:bCs/>
                <w:lang w:eastAsia="tr-TR"/>
              </w:rPr>
              <w:t>ayılı Katma Değer Vergisi Kanunu</w:t>
            </w:r>
          </w:p>
          <w:p w14:paraId="0F3F9D43" w14:textId="41EB0484" w:rsidR="008072FA" w:rsidRPr="008072FA" w:rsidRDefault="008072FA" w:rsidP="008072FA">
            <w:pPr>
              <w:rPr>
                <w:rFonts w:eastAsia="Times New Roman"/>
                <w:lang w:eastAsia="tr-TR"/>
              </w:rPr>
            </w:pPr>
            <w:r w:rsidRPr="008072FA">
              <w:rPr>
                <w:rFonts w:eastAsia="Times New Roman"/>
                <w:bCs/>
                <w:lang w:eastAsia="tr-TR"/>
              </w:rPr>
              <w:t xml:space="preserve">193 </w:t>
            </w:r>
            <w:r w:rsidR="009F0DF6">
              <w:rPr>
                <w:rFonts w:eastAsia="Times New Roman"/>
                <w:bCs/>
                <w:lang w:eastAsia="tr-TR"/>
              </w:rPr>
              <w:t>s</w:t>
            </w:r>
            <w:r w:rsidRPr="008072FA">
              <w:rPr>
                <w:rFonts w:eastAsia="Times New Roman"/>
                <w:bCs/>
                <w:lang w:eastAsia="tr-TR"/>
              </w:rPr>
              <w:t>ayılı Gelir Vergisi Kanunu</w:t>
            </w:r>
          </w:p>
          <w:p w14:paraId="1680D401" w14:textId="0BD090A8" w:rsidR="008072FA" w:rsidRPr="008072FA" w:rsidRDefault="008072FA" w:rsidP="008072FA">
            <w:pPr>
              <w:rPr>
                <w:rFonts w:eastAsia="Times New Roman"/>
                <w:lang w:eastAsia="tr-TR"/>
              </w:rPr>
            </w:pPr>
            <w:r w:rsidRPr="008072FA">
              <w:rPr>
                <w:rFonts w:eastAsia="Times New Roman"/>
                <w:bCs/>
                <w:lang w:eastAsia="tr-TR"/>
              </w:rPr>
              <w:t xml:space="preserve">213 </w:t>
            </w:r>
            <w:r w:rsidR="009F0DF6">
              <w:rPr>
                <w:rFonts w:eastAsia="Times New Roman"/>
                <w:bCs/>
                <w:lang w:eastAsia="tr-TR"/>
              </w:rPr>
              <w:t>s</w:t>
            </w:r>
            <w:r w:rsidRPr="008072FA">
              <w:rPr>
                <w:rFonts w:eastAsia="Times New Roman"/>
                <w:bCs/>
                <w:lang w:eastAsia="tr-TR"/>
              </w:rPr>
              <w:t>ayılı Vergi Usul Kanunu</w:t>
            </w:r>
          </w:p>
          <w:p w14:paraId="6751FAD6" w14:textId="48FCF3D8" w:rsidR="008072FA" w:rsidRPr="008072FA" w:rsidRDefault="008072FA" w:rsidP="008072FA">
            <w:pPr>
              <w:rPr>
                <w:rFonts w:eastAsia="Times New Roman"/>
                <w:lang w:eastAsia="tr-TR"/>
              </w:rPr>
            </w:pPr>
            <w:r w:rsidRPr="008072FA">
              <w:rPr>
                <w:rFonts w:eastAsia="Times New Roman"/>
                <w:bCs/>
                <w:lang w:eastAsia="tr-TR"/>
              </w:rPr>
              <w:t xml:space="preserve">488 </w:t>
            </w:r>
            <w:r w:rsidR="009F0DF6">
              <w:rPr>
                <w:rFonts w:eastAsia="Times New Roman"/>
                <w:bCs/>
                <w:lang w:eastAsia="tr-TR"/>
              </w:rPr>
              <w:t>s</w:t>
            </w:r>
            <w:r w:rsidRPr="008072FA">
              <w:rPr>
                <w:rFonts w:eastAsia="Times New Roman"/>
                <w:bCs/>
                <w:lang w:eastAsia="tr-TR"/>
              </w:rPr>
              <w:t>ayılı Damga Vergisi Kanunu</w:t>
            </w:r>
          </w:p>
          <w:p w14:paraId="4F10C0BA" w14:textId="77777777" w:rsidR="008072FA" w:rsidRPr="008072FA" w:rsidRDefault="008072FA" w:rsidP="008072FA">
            <w:pPr>
              <w:rPr>
                <w:rFonts w:eastAsia="Times New Roman"/>
                <w:lang w:eastAsia="tr-TR"/>
              </w:rPr>
            </w:pPr>
            <w:r w:rsidRPr="008072FA">
              <w:rPr>
                <w:rFonts w:eastAsia="Times New Roman"/>
                <w:bCs/>
                <w:lang w:eastAsia="tr-TR"/>
              </w:rPr>
              <w:t>Merkezi Yönetim Harcama Belgeleri Yönetmeliği</w:t>
            </w:r>
          </w:p>
          <w:p w14:paraId="50BE895E" w14:textId="77777777" w:rsidR="008072FA" w:rsidRPr="008072FA" w:rsidRDefault="008072FA" w:rsidP="008072FA">
            <w:pPr>
              <w:rPr>
                <w:rFonts w:eastAsia="Times New Roman"/>
                <w:lang w:eastAsia="tr-TR"/>
              </w:rPr>
            </w:pPr>
            <w:r w:rsidRPr="008072FA">
              <w:rPr>
                <w:rFonts w:eastAsia="Times New Roman"/>
                <w:bCs/>
                <w:lang w:eastAsia="tr-TR"/>
              </w:rPr>
              <w:t>Taşınır Mal Yönetmeliği</w:t>
            </w:r>
          </w:p>
          <w:p w14:paraId="38A8C745" w14:textId="77777777" w:rsidR="008072FA" w:rsidRPr="008072FA" w:rsidRDefault="008072FA" w:rsidP="008072FA">
            <w:pPr>
              <w:rPr>
                <w:rFonts w:eastAsia="Times New Roman"/>
                <w:lang w:eastAsia="tr-TR"/>
              </w:rPr>
            </w:pPr>
            <w:r w:rsidRPr="008072FA">
              <w:rPr>
                <w:rFonts w:eastAsia="Times New Roman"/>
                <w:bCs/>
                <w:lang w:eastAsia="tr-TR"/>
              </w:rPr>
              <w:t>Hazine Taşınmazlarının İdaresi Hakkında Yönetmelik</w:t>
            </w:r>
          </w:p>
          <w:p w14:paraId="3DF18007" w14:textId="77777777" w:rsidR="008072FA" w:rsidRPr="008072FA" w:rsidRDefault="008072FA" w:rsidP="008072FA"/>
        </w:tc>
      </w:tr>
    </w:tbl>
    <w:p w14:paraId="6C21DE04" w14:textId="77777777" w:rsidR="00321759" w:rsidRPr="006234C0" w:rsidRDefault="00321759" w:rsidP="006234C0">
      <w:pPr>
        <w:spacing w:after="0"/>
        <w:jc w:val="center"/>
        <w:rPr>
          <w:rFonts w:cstheme="minorHAnsi"/>
          <w:b/>
        </w:rPr>
      </w:pPr>
    </w:p>
    <w:p w14:paraId="6A4F2248" w14:textId="77777777" w:rsidR="00BE4F41" w:rsidRPr="006234C0" w:rsidRDefault="00BE4F41" w:rsidP="006234C0">
      <w:pPr>
        <w:spacing w:after="0"/>
        <w:jc w:val="center"/>
        <w:rPr>
          <w:rFonts w:cstheme="minorHAnsi"/>
          <w:b/>
        </w:rPr>
      </w:pPr>
    </w:p>
    <w:p w14:paraId="78E31478" w14:textId="77777777" w:rsidR="00BE4F41" w:rsidRPr="006234C0" w:rsidRDefault="00BE4F41" w:rsidP="006234C0">
      <w:pPr>
        <w:spacing w:after="0"/>
        <w:rPr>
          <w:rFonts w:cstheme="minorHAnsi"/>
          <w:b/>
        </w:rPr>
      </w:pPr>
    </w:p>
    <w:sectPr w:rsidR="00BE4F41" w:rsidRPr="006234C0" w:rsidSect="006234C0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D94"/>
    <w:multiLevelType w:val="multilevel"/>
    <w:tmpl w:val="B31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92868"/>
    <w:multiLevelType w:val="multilevel"/>
    <w:tmpl w:val="A1E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9557F"/>
    <w:multiLevelType w:val="multilevel"/>
    <w:tmpl w:val="72C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95A29"/>
    <w:multiLevelType w:val="hybridMultilevel"/>
    <w:tmpl w:val="397CCD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D18E1"/>
    <w:multiLevelType w:val="multilevel"/>
    <w:tmpl w:val="54B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C7DED"/>
    <w:multiLevelType w:val="multilevel"/>
    <w:tmpl w:val="7456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2F48EE"/>
    <w:multiLevelType w:val="multilevel"/>
    <w:tmpl w:val="45C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96856"/>
    <w:multiLevelType w:val="multilevel"/>
    <w:tmpl w:val="E63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D4E8C"/>
    <w:multiLevelType w:val="multilevel"/>
    <w:tmpl w:val="2BA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0F21FB"/>
    <w:multiLevelType w:val="multilevel"/>
    <w:tmpl w:val="94F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E0F34"/>
    <w:multiLevelType w:val="multilevel"/>
    <w:tmpl w:val="042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694CB5"/>
    <w:multiLevelType w:val="multilevel"/>
    <w:tmpl w:val="1896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727AE1"/>
    <w:multiLevelType w:val="multilevel"/>
    <w:tmpl w:val="BA3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B37CF5"/>
    <w:multiLevelType w:val="multilevel"/>
    <w:tmpl w:val="3A4A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233FB6"/>
    <w:multiLevelType w:val="multilevel"/>
    <w:tmpl w:val="C62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12454B"/>
    <w:multiLevelType w:val="multilevel"/>
    <w:tmpl w:val="32B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35BF6"/>
    <w:multiLevelType w:val="multilevel"/>
    <w:tmpl w:val="82A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E250F1"/>
    <w:multiLevelType w:val="hybridMultilevel"/>
    <w:tmpl w:val="2B88895C"/>
    <w:lvl w:ilvl="0" w:tplc="1908910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50AE1"/>
    <w:multiLevelType w:val="multilevel"/>
    <w:tmpl w:val="2A6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CA6CC1"/>
    <w:multiLevelType w:val="hybridMultilevel"/>
    <w:tmpl w:val="CA747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C0018"/>
    <w:multiLevelType w:val="hybridMultilevel"/>
    <w:tmpl w:val="9C1A34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13F5D"/>
    <w:multiLevelType w:val="multilevel"/>
    <w:tmpl w:val="197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DB3791"/>
    <w:multiLevelType w:val="hybridMultilevel"/>
    <w:tmpl w:val="8ED88E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32FBF"/>
    <w:multiLevelType w:val="multilevel"/>
    <w:tmpl w:val="CFA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5150BD"/>
    <w:multiLevelType w:val="multilevel"/>
    <w:tmpl w:val="335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0B29BF"/>
    <w:multiLevelType w:val="multilevel"/>
    <w:tmpl w:val="7EA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1B5710"/>
    <w:multiLevelType w:val="multilevel"/>
    <w:tmpl w:val="986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F327B2"/>
    <w:multiLevelType w:val="multilevel"/>
    <w:tmpl w:val="293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AE2005"/>
    <w:multiLevelType w:val="hybridMultilevel"/>
    <w:tmpl w:val="17AE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21B9F"/>
    <w:multiLevelType w:val="multilevel"/>
    <w:tmpl w:val="C9B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535795"/>
    <w:multiLevelType w:val="multilevel"/>
    <w:tmpl w:val="7FF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A0424D"/>
    <w:multiLevelType w:val="multilevel"/>
    <w:tmpl w:val="729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4E353A"/>
    <w:multiLevelType w:val="hybridMultilevel"/>
    <w:tmpl w:val="7E8E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83D86"/>
    <w:multiLevelType w:val="multilevel"/>
    <w:tmpl w:val="130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07347">
    <w:abstractNumId w:val="28"/>
  </w:num>
  <w:num w:numId="2" w16cid:durableId="779028683">
    <w:abstractNumId w:val="17"/>
  </w:num>
  <w:num w:numId="3" w16cid:durableId="2023849602">
    <w:abstractNumId w:val="5"/>
  </w:num>
  <w:num w:numId="4" w16cid:durableId="2107187892">
    <w:abstractNumId w:val="11"/>
  </w:num>
  <w:num w:numId="5" w16cid:durableId="1700081349">
    <w:abstractNumId w:val="13"/>
  </w:num>
  <w:num w:numId="6" w16cid:durableId="870531546">
    <w:abstractNumId w:val="14"/>
  </w:num>
  <w:num w:numId="7" w16cid:durableId="876503616">
    <w:abstractNumId w:val="19"/>
  </w:num>
  <w:num w:numId="8" w16cid:durableId="569387273">
    <w:abstractNumId w:val="8"/>
  </w:num>
  <w:num w:numId="9" w16cid:durableId="1232738922">
    <w:abstractNumId w:val="21"/>
  </w:num>
  <w:num w:numId="10" w16cid:durableId="1236624482">
    <w:abstractNumId w:val="18"/>
  </w:num>
  <w:num w:numId="11" w16cid:durableId="2003464321">
    <w:abstractNumId w:val="1"/>
  </w:num>
  <w:num w:numId="12" w16cid:durableId="1981760713">
    <w:abstractNumId w:val="6"/>
  </w:num>
  <w:num w:numId="13" w16cid:durableId="1464929693">
    <w:abstractNumId w:val="27"/>
  </w:num>
  <w:num w:numId="14" w16cid:durableId="1774592627">
    <w:abstractNumId w:val="23"/>
  </w:num>
  <w:num w:numId="15" w16cid:durableId="1894271394">
    <w:abstractNumId w:val="16"/>
  </w:num>
  <w:num w:numId="16" w16cid:durableId="1973241901">
    <w:abstractNumId w:val="7"/>
  </w:num>
  <w:num w:numId="17" w16cid:durableId="467209150">
    <w:abstractNumId w:val="26"/>
  </w:num>
  <w:num w:numId="18" w16cid:durableId="1923835547">
    <w:abstractNumId w:val="4"/>
  </w:num>
  <w:num w:numId="19" w16cid:durableId="730539667">
    <w:abstractNumId w:val="0"/>
  </w:num>
  <w:num w:numId="20" w16cid:durableId="1969358259">
    <w:abstractNumId w:val="31"/>
  </w:num>
  <w:num w:numId="21" w16cid:durableId="1054083997">
    <w:abstractNumId w:val="33"/>
  </w:num>
  <w:num w:numId="22" w16cid:durableId="1940329216">
    <w:abstractNumId w:val="24"/>
  </w:num>
  <w:num w:numId="23" w16cid:durableId="1215459340">
    <w:abstractNumId w:val="29"/>
  </w:num>
  <w:num w:numId="24" w16cid:durableId="24527873">
    <w:abstractNumId w:val="10"/>
  </w:num>
  <w:num w:numId="25" w16cid:durableId="635991985">
    <w:abstractNumId w:val="30"/>
  </w:num>
  <w:num w:numId="26" w16cid:durableId="407924140">
    <w:abstractNumId w:val="9"/>
  </w:num>
  <w:num w:numId="27" w16cid:durableId="1878810763">
    <w:abstractNumId w:val="12"/>
  </w:num>
  <w:num w:numId="28" w16cid:durableId="1730348545">
    <w:abstractNumId w:val="15"/>
  </w:num>
  <w:num w:numId="29" w16cid:durableId="825054126">
    <w:abstractNumId w:val="25"/>
  </w:num>
  <w:num w:numId="30" w16cid:durableId="1179736090">
    <w:abstractNumId w:val="2"/>
  </w:num>
  <w:num w:numId="31" w16cid:durableId="108358309">
    <w:abstractNumId w:val="3"/>
  </w:num>
  <w:num w:numId="32" w16cid:durableId="1785880012">
    <w:abstractNumId w:val="22"/>
  </w:num>
  <w:num w:numId="33" w16cid:durableId="1769765751">
    <w:abstractNumId w:val="20"/>
  </w:num>
  <w:num w:numId="34" w16cid:durableId="24434398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3DB"/>
    <w:rsid w:val="00030A17"/>
    <w:rsid w:val="00034B31"/>
    <w:rsid w:val="00037939"/>
    <w:rsid w:val="00062E2C"/>
    <w:rsid w:val="00080BF7"/>
    <w:rsid w:val="000857AA"/>
    <w:rsid w:val="000947D2"/>
    <w:rsid w:val="000A4F9A"/>
    <w:rsid w:val="000B3D04"/>
    <w:rsid w:val="001233DB"/>
    <w:rsid w:val="00167BCD"/>
    <w:rsid w:val="00187937"/>
    <w:rsid w:val="00190147"/>
    <w:rsid w:val="0022580C"/>
    <w:rsid w:val="00264753"/>
    <w:rsid w:val="002A31C3"/>
    <w:rsid w:val="002E5688"/>
    <w:rsid w:val="00312D02"/>
    <w:rsid w:val="00321759"/>
    <w:rsid w:val="003A0C15"/>
    <w:rsid w:val="004313B9"/>
    <w:rsid w:val="00442427"/>
    <w:rsid w:val="00470899"/>
    <w:rsid w:val="004D4DDD"/>
    <w:rsid w:val="004E68AA"/>
    <w:rsid w:val="00502D91"/>
    <w:rsid w:val="00511316"/>
    <w:rsid w:val="0051513C"/>
    <w:rsid w:val="005475E8"/>
    <w:rsid w:val="005912C4"/>
    <w:rsid w:val="006234C0"/>
    <w:rsid w:val="00625E93"/>
    <w:rsid w:val="00634975"/>
    <w:rsid w:val="00647816"/>
    <w:rsid w:val="006E71D1"/>
    <w:rsid w:val="00705F9A"/>
    <w:rsid w:val="00745919"/>
    <w:rsid w:val="00747B43"/>
    <w:rsid w:val="00755DA0"/>
    <w:rsid w:val="00761463"/>
    <w:rsid w:val="0076314D"/>
    <w:rsid w:val="007677B4"/>
    <w:rsid w:val="00786CC4"/>
    <w:rsid w:val="0079201F"/>
    <w:rsid w:val="007B468B"/>
    <w:rsid w:val="007D3ACE"/>
    <w:rsid w:val="00804820"/>
    <w:rsid w:val="008068AC"/>
    <w:rsid w:val="008072FA"/>
    <w:rsid w:val="008128DA"/>
    <w:rsid w:val="008148EB"/>
    <w:rsid w:val="008907EB"/>
    <w:rsid w:val="00892621"/>
    <w:rsid w:val="008933B8"/>
    <w:rsid w:val="008B3A2A"/>
    <w:rsid w:val="00902E6F"/>
    <w:rsid w:val="00906375"/>
    <w:rsid w:val="00945EE6"/>
    <w:rsid w:val="0097059C"/>
    <w:rsid w:val="00973AF6"/>
    <w:rsid w:val="00986188"/>
    <w:rsid w:val="009B6CE6"/>
    <w:rsid w:val="009F0DF6"/>
    <w:rsid w:val="009F5026"/>
    <w:rsid w:val="00A707F7"/>
    <w:rsid w:val="00AA2BB5"/>
    <w:rsid w:val="00AA33CB"/>
    <w:rsid w:val="00AA7E6F"/>
    <w:rsid w:val="00B40F2B"/>
    <w:rsid w:val="00B478B0"/>
    <w:rsid w:val="00BB4DF4"/>
    <w:rsid w:val="00BD0155"/>
    <w:rsid w:val="00BD7261"/>
    <w:rsid w:val="00BE4F41"/>
    <w:rsid w:val="00BF564A"/>
    <w:rsid w:val="00C12A3D"/>
    <w:rsid w:val="00C139F5"/>
    <w:rsid w:val="00C2672B"/>
    <w:rsid w:val="00C34AA5"/>
    <w:rsid w:val="00C4453B"/>
    <w:rsid w:val="00C57B3A"/>
    <w:rsid w:val="00C63834"/>
    <w:rsid w:val="00C72880"/>
    <w:rsid w:val="00D05B7E"/>
    <w:rsid w:val="00D1386E"/>
    <w:rsid w:val="00D47FB0"/>
    <w:rsid w:val="00D53A3A"/>
    <w:rsid w:val="00D638E2"/>
    <w:rsid w:val="00D818DF"/>
    <w:rsid w:val="00E02521"/>
    <w:rsid w:val="00E11DB0"/>
    <w:rsid w:val="00E231DD"/>
    <w:rsid w:val="00E2462C"/>
    <w:rsid w:val="00E357E3"/>
    <w:rsid w:val="00E50082"/>
    <w:rsid w:val="00EF74ED"/>
    <w:rsid w:val="00F00814"/>
    <w:rsid w:val="00F0296C"/>
    <w:rsid w:val="00F24F91"/>
    <w:rsid w:val="00F61B87"/>
    <w:rsid w:val="00F828F1"/>
    <w:rsid w:val="00FB767F"/>
    <w:rsid w:val="00FC1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7B5C"/>
  <w15:docId w15:val="{E78E02D0-94F0-4367-877D-CF47257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7F"/>
  </w:style>
  <w:style w:type="paragraph" w:styleId="Balk9">
    <w:name w:val="heading 9"/>
    <w:basedOn w:val="Normal"/>
    <w:next w:val="Normal"/>
    <w:link w:val="Balk9Char"/>
    <w:qFormat/>
    <w:rsid w:val="00D138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7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4DDD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D1386E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71BB-AB2B-4EB2-8F9D-DDA43EA0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İMİD</cp:lastModifiedBy>
  <cp:revision>67</cp:revision>
  <dcterms:created xsi:type="dcterms:W3CDTF">2025-10-02T06:49:00Z</dcterms:created>
  <dcterms:modified xsi:type="dcterms:W3CDTF">2026-01-02T16:49:00Z</dcterms:modified>
</cp:coreProperties>
</file>